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865" w14:textId="77777777" w:rsidR="00B71060" w:rsidRPr="00305D7A" w:rsidRDefault="00B71060" w:rsidP="00305D7A">
      <w:pPr>
        <w:spacing w:after="0" w:line="480" w:lineRule="auto"/>
        <w:contextualSpacing/>
        <w:jc w:val="center"/>
        <w:rPr>
          <w:rFonts w:ascii="Times New Roman" w:hAnsi="Times New Roman"/>
          <w:sz w:val="24"/>
          <w:szCs w:val="24"/>
          <w:lang w:val="ru-RU"/>
        </w:rPr>
      </w:pPr>
    </w:p>
    <w:p w14:paraId="60FA7576" w14:textId="77777777" w:rsidR="00B71060" w:rsidRPr="00305D7A" w:rsidRDefault="00B71060" w:rsidP="00305D7A">
      <w:pPr>
        <w:spacing w:after="0" w:line="480" w:lineRule="auto"/>
        <w:contextualSpacing/>
        <w:jc w:val="center"/>
        <w:rPr>
          <w:rFonts w:ascii="Times New Roman" w:hAnsi="Times New Roman"/>
          <w:sz w:val="24"/>
          <w:szCs w:val="24"/>
        </w:rPr>
      </w:pPr>
    </w:p>
    <w:p w14:paraId="037929DB" w14:textId="77777777" w:rsidR="00B71060" w:rsidRPr="00305D7A" w:rsidRDefault="00B71060" w:rsidP="00305D7A">
      <w:pPr>
        <w:spacing w:after="0" w:line="480" w:lineRule="auto"/>
        <w:contextualSpacing/>
        <w:jc w:val="center"/>
        <w:rPr>
          <w:rFonts w:ascii="Times New Roman" w:hAnsi="Times New Roman"/>
          <w:sz w:val="24"/>
          <w:szCs w:val="24"/>
        </w:rPr>
      </w:pPr>
    </w:p>
    <w:p w14:paraId="5A475EF2" w14:textId="77777777" w:rsidR="00B71060" w:rsidRPr="00305D7A" w:rsidRDefault="00B71060" w:rsidP="00305D7A">
      <w:pPr>
        <w:spacing w:after="0" w:line="480" w:lineRule="auto"/>
        <w:contextualSpacing/>
        <w:jc w:val="center"/>
        <w:rPr>
          <w:rFonts w:ascii="Times New Roman" w:hAnsi="Times New Roman"/>
          <w:sz w:val="24"/>
          <w:szCs w:val="24"/>
        </w:rPr>
      </w:pPr>
    </w:p>
    <w:p w14:paraId="7F124014" w14:textId="77777777" w:rsidR="00B71060" w:rsidRPr="00305D7A" w:rsidRDefault="00B71060" w:rsidP="00305D7A">
      <w:pPr>
        <w:spacing w:after="0" w:line="480" w:lineRule="auto"/>
        <w:contextualSpacing/>
        <w:jc w:val="center"/>
        <w:rPr>
          <w:rFonts w:ascii="Times New Roman" w:hAnsi="Times New Roman"/>
          <w:sz w:val="24"/>
          <w:szCs w:val="24"/>
        </w:rPr>
      </w:pPr>
    </w:p>
    <w:p w14:paraId="7A313B1E" w14:textId="77777777" w:rsidR="00B71060" w:rsidRPr="00305D7A" w:rsidRDefault="00B71060" w:rsidP="00305D7A">
      <w:pPr>
        <w:spacing w:after="0" w:line="480" w:lineRule="auto"/>
        <w:contextualSpacing/>
        <w:jc w:val="center"/>
        <w:rPr>
          <w:rFonts w:ascii="Times New Roman" w:hAnsi="Times New Roman"/>
          <w:sz w:val="24"/>
          <w:szCs w:val="24"/>
        </w:rPr>
      </w:pPr>
    </w:p>
    <w:p w14:paraId="4DB5F7D7" w14:textId="77777777" w:rsidR="00B71060" w:rsidRPr="00305D7A" w:rsidRDefault="00B71060" w:rsidP="00305D7A">
      <w:pPr>
        <w:spacing w:after="0" w:line="480" w:lineRule="auto"/>
        <w:contextualSpacing/>
        <w:jc w:val="center"/>
        <w:rPr>
          <w:rFonts w:ascii="Times New Roman" w:hAnsi="Times New Roman"/>
          <w:sz w:val="24"/>
          <w:szCs w:val="24"/>
        </w:rPr>
      </w:pPr>
    </w:p>
    <w:p w14:paraId="2D5C3EB2" w14:textId="77777777" w:rsidR="005130A4" w:rsidRDefault="005130A4" w:rsidP="00305D7A">
      <w:pPr>
        <w:spacing w:after="0" w:line="480" w:lineRule="auto"/>
        <w:contextualSpacing/>
        <w:jc w:val="center"/>
        <w:rPr>
          <w:rFonts w:ascii="Times New Roman" w:hAnsi="Times New Roman"/>
          <w:sz w:val="24"/>
          <w:szCs w:val="24"/>
          <w:shd w:val="clear" w:color="auto" w:fill="FFFFFF"/>
        </w:rPr>
      </w:pPr>
      <w:r w:rsidRPr="005130A4">
        <w:rPr>
          <w:rFonts w:ascii="Times New Roman" w:hAnsi="Times New Roman"/>
          <w:b/>
          <w:bCs/>
          <w:sz w:val="24"/>
          <w:szCs w:val="24"/>
          <w:shd w:val="clear" w:color="auto" w:fill="FFFFFF"/>
        </w:rPr>
        <w:t>Lamar University</w:t>
      </w:r>
      <w:r w:rsidRPr="005130A4">
        <w:rPr>
          <w:rFonts w:ascii="Times New Roman" w:hAnsi="Times New Roman"/>
          <w:sz w:val="24"/>
          <w:szCs w:val="24"/>
          <w:shd w:val="clear" w:color="auto" w:fill="FFFFFF"/>
        </w:rPr>
        <w:br/>
      </w:r>
      <w:r w:rsidRPr="005130A4">
        <w:rPr>
          <w:rFonts w:ascii="Times New Roman" w:hAnsi="Times New Roman"/>
          <w:b/>
          <w:bCs/>
          <w:sz w:val="24"/>
          <w:szCs w:val="24"/>
          <w:shd w:val="clear" w:color="auto" w:fill="FFFFFF"/>
        </w:rPr>
        <w:t>EDLD 5305: Designing Online Learning</w:t>
      </w:r>
      <w:r w:rsidRPr="005130A4">
        <w:rPr>
          <w:rFonts w:ascii="Times New Roman" w:hAnsi="Times New Roman"/>
          <w:sz w:val="24"/>
          <w:szCs w:val="24"/>
          <w:shd w:val="clear" w:color="auto" w:fill="FFFFFF"/>
        </w:rPr>
        <w:br/>
      </w:r>
      <w:r w:rsidRPr="005130A4">
        <w:rPr>
          <w:rFonts w:ascii="Times New Roman" w:hAnsi="Times New Roman"/>
          <w:b/>
          <w:bCs/>
          <w:sz w:val="24"/>
          <w:szCs w:val="24"/>
          <w:shd w:val="clear" w:color="auto" w:fill="FFFFFF"/>
        </w:rPr>
        <w:t>November 2025</w:t>
      </w:r>
      <w:r w:rsidRPr="005130A4">
        <w:rPr>
          <w:rFonts w:ascii="Times New Roman" w:hAnsi="Times New Roman"/>
          <w:sz w:val="24"/>
          <w:szCs w:val="24"/>
          <w:shd w:val="clear" w:color="auto" w:fill="FFFFFF"/>
        </w:rPr>
        <w:t xml:space="preserve"> </w:t>
      </w:r>
    </w:p>
    <w:p w14:paraId="51A056F2" w14:textId="6F74F62C" w:rsidR="00B71060" w:rsidRPr="00305D7A" w:rsidRDefault="008C7843" w:rsidP="00305D7A">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t>Chalice McKnight</w:t>
      </w:r>
    </w:p>
    <w:p w14:paraId="65E1D618" w14:textId="77777777" w:rsidR="00FF557B" w:rsidRPr="00305D7A" w:rsidRDefault="00FF557B" w:rsidP="00305D7A">
      <w:pPr>
        <w:spacing w:after="0" w:line="480" w:lineRule="auto"/>
        <w:contextualSpacing/>
        <w:jc w:val="center"/>
        <w:rPr>
          <w:rFonts w:ascii="Times New Roman" w:eastAsia="Times New Roman" w:hAnsi="Times New Roman"/>
          <w:sz w:val="24"/>
          <w:szCs w:val="24"/>
        </w:rPr>
      </w:pPr>
      <w:r w:rsidRPr="00305D7A">
        <w:rPr>
          <w:rFonts w:ascii="Times New Roman" w:eastAsia="Times New Roman" w:hAnsi="Times New Roman"/>
          <w:sz w:val="24"/>
          <w:szCs w:val="24"/>
        </w:rPr>
        <w:br w:type="page"/>
      </w:r>
    </w:p>
    <w:p w14:paraId="56794600" w14:textId="77777777" w:rsidR="00305D7A" w:rsidRPr="00305D7A" w:rsidRDefault="00305D7A" w:rsidP="00305D7A">
      <w:pPr>
        <w:spacing w:after="0" w:line="480" w:lineRule="auto"/>
        <w:jc w:val="center"/>
        <w:rPr>
          <w:rFonts w:ascii="Times New Roman" w:hAnsi="Times New Roman"/>
          <w:sz w:val="24"/>
          <w:szCs w:val="24"/>
        </w:rPr>
      </w:pPr>
      <w:r w:rsidRPr="00305D7A">
        <w:rPr>
          <w:rFonts w:ascii="Times New Roman" w:hAnsi="Times New Roman"/>
          <w:sz w:val="24"/>
          <w:szCs w:val="24"/>
        </w:rPr>
        <w:lastRenderedPageBreak/>
        <w:t>Introduction</w:t>
      </w:r>
    </w:p>
    <w:p w14:paraId="56005C98" w14:textId="77777777" w:rsidR="00305D7A" w:rsidRPr="00305D7A" w:rsidRDefault="00305D7A" w:rsidP="00305D7A">
      <w:pPr>
        <w:spacing w:after="0" w:line="480" w:lineRule="auto"/>
        <w:ind w:firstLine="720"/>
        <w:rPr>
          <w:rFonts w:ascii="Times New Roman" w:hAnsi="Times New Roman"/>
          <w:sz w:val="24"/>
          <w:szCs w:val="24"/>
        </w:rPr>
      </w:pPr>
      <w:r w:rsidRPr="00305D7A">
        <w:rPr>
          <w:rFonts w:ascii="Times New Roman" w:hAnsi="Times New Roman"/>
          <w:sz w:val="24"/>
          <w:szCs w:val="24"/>
        </w:rPr>
        <w:t>This literature review examines contemporary studies being conducted concerning blended learning through the use of the station rotation model and digital portfolios to improve self-regulation techniques and learning for mastery. The particular time frame for this literature review involves studies conducted within the last five to seven years.</w:t>
      </w:r>
    </w:p>
    <w:p w14:paraId="08BDB253" w14:textId="32676395" w:rsidR="00305D7A" w:rsidRPr="00305D7A" w:rsidRDefault="008C7843" w:rsidP="00305D7A">
      <w:pPr>
        <w:spacing w:after="0" w:line="480" w:lineRule="auto"/>
        <w:ind w:firstLine="720"/>
        <w:rPr>
          <w:rFonts w:ascii="Times New Roman" w:hAnsi="Times New Roman"/>
          <w:sz w:val="24"/>
          <w:szCs w:val="24"/>
        </w:rPr>
      </w:pPr>
      <w:r>
        <w:rPr>
          <w:rFonts w:ascii="Times New Roman" w:hAnsi="Times New Roman"/>
          <w:sz w:val="24"/>
          <w:szCs w:val="24"/>
        </w:rPr>
        <w:t>This review addresses a specific issue in 7th-grade Texas History classes related to low engagement and inconsistent mastery levels in the strategic use of blended learning and digital portfolios to foster personalized and competency-based learning. It also highlights several advantages of this approach.</w:t>
      </w:r>
    </w:p>
    <w:p w14:paraId="41F10781" w14:textId="4BAD110C" w:rsidR="00305D7A" w:rsidRPr="00305D7A" w:rsidRDefault="00305D7A" w:rsidP="00305D7A">
      <w:pPr>
        <w:spacing w:after="0" w:line="480" w:lineRule="auto"/>
        <w:ind w:firstLine="720"/>
        <w:rPr>
          <w:rFonts w:ascii="Times New Roman" w:hAnsi="Times New Roman"/>
          <w:sz w:val="24"/>
          <w:szCs w:val="24"/>
        </w:rPr>
      </w:pPr>
      <w:r w:rsidRPr="00305D7A">
        <w:rPr>
          <w:rFonts w:ascii="Times New Roman" w:hAnsi="Times New Roman"/>
          <w:sz w:val="24"/>
          <w:szCs w:val="24"/>
        </w:rPr>
        <w:t>This Review combines 12-15 authentic sources arranged under three themes: (1) blending learning and station rotation, (2) digital portfolios and self-regulation learning strategies, and (3) competency-based frameworks for personalization. These themes create a solid foundation for structuring the Plan of Implementation for this Innovation Plan.</w:t>
      </w:r>
    </w:p>
    <w:p w14:paraId="03FB3DC2" w14:textId="4973D1ED" w:rsidR="00305D7A" w:rsidRPr="00305D7A" w:rsidRDefault="00305D7A" w:rsidP="00305D7A">
      <w:pPr>
        <w:spacing w:after="0" w:line="480" w:lineRule="auto"/>
        <w:jc w:val="center"/>
        <w:rPr>
          <w:rFonts w:ascii="Times New Roman" w:hAnsi="Times New Roman"/>
          <w:sz w:val="24"/>
          <w:szCs w:val="24"/>
        </w:rPr>
      </w:pPr>
      <w:r w:rsidRPr="00305D7A">
        <w:rPr>
          <w:rFonts w:ascii="Times New Roman" w:hAnsi="Times New Roman"/>
          <w:sz w:val="24"/>
          <w:szCs w:val="24"/>
        </w:rPr>
        <w:t>Review of the Literature</w:t>
      </w:r>
    </w:p>
    <w:p w14:paraId="5B7E7925" w14:textId="4411FEC7" w:rsidR="00305D7A" w:rsidRPr="00305D7A" w:rsidRDefault="00305D7A" w:rsidP="00305D7A">
      <w:pPr>
        <w:spacing w:after="0" w:line="480" w:lineRule="auto"/>
        <w:rPr>
          <w:rFonts w:ascii="Times New Roman" w:hAnsi="Times New Roman"/>
          <w:sz w:val="24"/>
          <w:szCs w:val="24"/>
        </w:rPr>
      </w:pPr>
      <w:r w:rsidRPr="00305D7A">
        <w:rPr>
          <w:rFonts w:ascii="Times New Roman" w:hAnsi="Times New Roman"/>
          <w:i/>
          <w:iCs/>
          <w:sz w:val="24"/>
          <w:szCs w:val="24"/>
        </w:rPr>
        <w:t>Blending Learning And Station Rotation Models</w:t>
      </w:r>
      <w:r w:rsidRPr="00305D7A">
        <w:rPr>
          <w:rFonts w:ascii="Times New Roman" w:hAnsi="Times New Roman"/>
          <w:sz w:val="24"/>
          <w:szCs w:val="24"/>
        </w:rPr>
        <w:br/>
      </w:r>
      <w:r w:rsidR="005130A4">
        <w:rPr>
          <w:rFonts w:ascii="Times New Roman" w:hAnsi="Times New Roman"/>
          <w:sz w:val="24"/>
          <w:szCs w:val="24"/>
        </w:rPr>
        <w:tab/>
      </w:r>
      <w:r w:rsidRPr="00305D7A">
        <w:rPr>
          <w:rFonts w:ascii="Times New Roman" w:hAnsi="Times New Roman"/>
          <w:sz w:val="24"/>
          <w:szCs w:val="24"/>
        </w:rPr>
        <w:t>Research on blended learning highlights the need for flexible and student-centered learning approaches. The station-rotation approach gives learners opportunities to move between teacher-directed learning, group learning activities, and independent learning using digital technology (Fulbeck, 2020). This approach gives learners opportunities to learn at their own pace while the teacher provides direction to those receiving additional learning support.</w:t>
      </w:r>
    </w:p>
    <w:p w14:paraId="1D3DC4CC" w14:textId="071B4CEA" w:rsidR="00305D7A" w:rsidRPr="00305D7A" w:rsidRDefault="008C7843" w:rsidP="00305D7A">
      <w:pPr>
        <w:spacing w:after="0" w:line="480" w:lineRule="auto"/>
        <w:ind w:firstLine="720"/>
        <w:rPr>
          <w:rFonts w:ascii="Times New Roman" w:hAnsi="Times New Roman"/>
          <w:sz w:val="24"/>
          <w:szCs w:val="24"/>
        </w:rPr>
      </w:pPr>
      <w:r>
        <w:rPr>
          <w:rFonts w:ascii="Times New Roman" w:hAnsi="Times New Roman"/>
          <w:sz w:val="24"/>
          <w:szCs w:val="24"/>
        </w:rPr>
        <w:t xml:space="preserve">Research shows that station rotation effectively encourages student engagement. A study conducted by Xiangze and Abdullah (2023) established that gamification combined with station rotation resulted in significant cognitive participation, emotional involvement, and behavioral </w:t>
      </w:r>
      <w:r>
        <w:rPr>
          <w:rFonts w:ascii="Times New Roman" w:hAnsi="Times New Roman"/>
          <w:sz w:val="24"/>
          <w:szCs w:val="24"/>
        </w:rPr>
        <w:lastRenderedPageBreak/>
        <w:t>engagement. According to Li (2021), applying multi-station learning to middle school students led to responses to subject matter presented in various formats, helping facilitate deep learning outcomes. Teacher perception also supports this technique's effectiveness because Chatterjee (2024) reported increased class participation and collaboration.</w:t>
      </w:r>
    </w:p>
    <w:p w14:paraId="2C7277F9" w14:textId="6A5EDF24" w:rsidR="00305D7A" w:rsidRPr="00305D7A" w:rsidRDefault="00305D7A" w:rsidP="00305D7A">
      <w:pPr>
        <w:spacing w:after="0" w:line="480" w:lineRule="auto"/>
        <w:ind w:firstLine="720"/>
        <w:rPr>
          <w:rFonts w:ascii="Times New Roman" w:hAnsi="Times New Roman"/>
          <w:sz w:val="24"/>
          <w:szCs w:val="24"/>
        </w:rPr>
      </w:pPr>
      <w:r w:rsidRPr="00305D7A">
        <w:rPr>
          <w:rFonts w:ascii="Times New Roman" w:hAnsi="Times New Roman"/>
          <w:sz w:val="24"/>
          <w:szCs w:val="24"/>
        </w:rPr>
        <w:t>Academic success is another benefit. Tong et al. (2022) showed that blended learning environments resulted in effectiveness for learners regarding mathematics performance, emphasizing strategies such as small group teaching, adaptive practice, and cycles of feedback that could also work for social studies classes. While teacher acceptance and successful implementation issues like planning and technology availability are very significant factors (Chatterjee, 2024), these points have been kept under consideration while preparing this innovation strategy.</w:t>
      </w:r>
      <w:r w:rsidRPr="00305D7A">
        <w:rPr>
          <w:rFonts w:ascii="Times New Roman" w:hAnsi="Times New Roman"/>
          <w:sz w:val="24"/>
          <w:szCs w:val="24"/>
        </w:rPr>
        <w:br/>
      </w:r>
      <w:r w:rsidR="0053570B" w:rsidRPr="0053570B">
        <w:rPr>
          <w:rFonts w:ascii="Times New Roman" w:hAnsi="Times New Roman"/>
          <w:i/>
          <w:iCs/>
          <w:sz w:val="24"/>
          <w:szCs w:val="24"/>
        </w:rPr>
        <w:t>Digital Portfolios, Self-Regulation, and Metacognition</w:t>
      </w:r>
    </w:p>
    <w:p w14:paraId="21A1C761" w14:textId="77777777" w:rsidR="00305D7A" w:rsidRPr="00305D7A" w:rsidRDefault="00305D7A" w:rsidP="00305D7A">
      <w:pPr>
        <w:spacing w:after="0" w:line="480" w:lineRule="auto"/>
        <w:ind w:firstLine="720"/>
        <w:rPr>
          <w:rFonts w:ascii="Times New Roman" w:hAnsi="Times New Roman"/>
          <w:sz w:val="24"/>
          <w:szCs w:val="24"/>
        </w:rPr>
      </w:pPr>
      <w:r w:rsidRPr="00305D7A">
        <w:rPr>
          <w:rFonts w:ascii="Times New Roman" w:hAnsi="Times New Roman"/>
          <w:sz w:val="24"/>
          <w:szCs w:val="24"/>
        </w:rPr>
        <w:t>Digital portfolios improve reflective thinking, setting objectives, and learning for mastery achievement. According to Lam (2022), portfolios improve self-regulation and co-regulation of learning processes by offering opportunities for self-assessment of progress. This is linked to ensuring success for innovation objectives to improve ownership for learning among pupils at Texas History classes because portfolios improve anticipation realization-reflection activities (Al-Hawamleh, 2022).</w:t>
      </w:r>
    </w:p>
    <w:p w14:paraId="351F9970" w14:textId="5AF0BBF1" w:rsidR="00305D7A" w:rsidRPr="00305D7A" w:rsidRDefault="00305D7A" w:rsidP="00305D7A">
      <w:pPr>
        <w:spacing w:after="0" w:line="480" w:lineRule="auto"/>
        <w:ind w:firstLine="720"/>
        <w:rPr>
          <w:rFonts w:ascii="Times New Roman" w:hAnsi="Times New Roman"/>
          <w:sz w:val="24"/>
          <w:szCs w:val="24"/>
        </w:rPr>
      </w:pPr>
      <w:r w:rsidRPr="00305D7A">
        <w:rPr>
          <w:rFonts w:ascii="Times New Roman" w:hAnsi="Times New Roman"/>
          <w:sz w:val="24"/>
          <w:szCs w:val="24"/>
        </w:rPr>
        <w:t>Portfolios also enhance authenticity and engagement for students. According to Garcia (2025), “Findings showed increased motivation and reflection for students maintaining their own electronic portfolios.” History classes can use portfolios to contain essays, assignments, corrections, or audio/video responses to enhance mastery learning.</w:t>
      </w:r>
      <w:r w:rsidR="005A432C">
        <w:rPr>
          <w:rFonts w:ascii="Times New Roman" w:hAnsi="Times New Roman"/>
          <w:sz w:val="24"/>
          <w:szCs w:val="24"/>
        </w:rPr>
        <w:t xml:space="preserve"> </w:t>
      </w:r>
      <w:r w:rsidR="000311F6" w:rsidRPr="000311F6">
        <w:rPr>
          <w:rFonts w:ascii="Times New Roman" w:hAnsi="Times New Roman"/>
          <w:sz w:val="24"/>
          <w:szCs w:val="24"/>
        </w:rPr>
        <w:t xml:space="preserve">Research also shows that digital portfolios support deeper engagement. Garcia (2025) found that when students maintained </w:t>
      </w:r>
      <w:r w:rsidR="000311F6" w:rsidRPr="000311F6">
        <w:rPr>
          <w:rFonts w:ascii="Times New Roman" w:hAnsi="Times New Roman"/>
          <w:sz w:val="24"/>
          <w:szCs w:val="24"/>
        </w:rPr>
        <w:lastRenderedPageBreak/>
        <w:t>their own electronic portfolios, they demonstrated higher levels of motivation and reflection, suggesting that portfolio ownership can meaningfully enhance mastery learning in history classrooms.</w:t>
      </w:r>
    </w:p>
    <w:p w14:paraId="01DC2950" w14:textId="32639771" w:rsidR="00305D7A" w:rsidRPr="00305D7A" w:rsidRDefault="00305D7A" w:rsidP="00305D7A">
      <w:pPr>
        <w:spacing w:after="0" w:line="480" w:lineRule="auto"/>
        <w:ind w:firstLine="720"/>
        <w:rPr>
          <w:rFonts w:ascii="Times New Roman" w:hAnsi="Times New Roman"/>
          <w:sz w:val="24"/>
          <w:szCs w:val="24"/>
        </w:rPr>
      </w:pPr>
      <w:r w:rsidRPr="00305D7A">
        <w:rPr>
          <w:rFonts w:ascii="Times New Roman" w:hAnsi="Times New Roman"/>
          <w:sz w:val="24"/>
          <w:szCs w:val="24"/>
        </w:rPr>
        <w:t>Effective use of portfolios demands thoughtful implementation. This is supported by Yang (2024). The imperative is to have expectations, feedback, and time. This is because Zhang (2024) reported success among pupils whose portfolios were co-designed and implemented as part of normal classroom activities. This too is recommended by REL Central (2023) to improve ownership among students. This supports the innovation proposal to improve planning for portfolio composition, reflection timing, and feedback activities.</w:t>
      </w:r>
      <w:r w:rsidRPr="00305D7A">
        <w:rPr>
          <w:rFonts w:ascii="Times New Roman" w:hAnsi="Times New Roman"/>
          <w:sz w:val="24"/>
          <w:szCs w:val="24"/>
        </w:rPr>
        <w:br/>
      </w:r>
      <w:r w:rsidRPr="00305D7A">
        <w:rPr>
          <w:rFonts w:ascii="Times New Roman" w:hAnsi="Times New Roman"/>
          <w:i/>
          <w:iCs/>
          <w:sz w:val="24"/>
          <w:szCs w:val="24"/>
        </w:rPr>
        <w:t>Personalized and Competency-Based Learning Frameworks</w:t>
      </w:r>
    </w:p>
    <w:p w14:paraId="70152F62" w14:textId="77777777" w:rsidR="00305D7A" w:rsidRPr="00305D7A" w:rsidRDefault="00305D7A" w:rsidP="00305D7A">
      <w:pPr>
        <w:spacing w:after="0" w:line="480" w:lineRule="auto"/>
        <w:ind w:firstLine="720"/>
        <w:rPr>
          <w:rFonts w:ascii="Times New Roman" w:hAnsi="Times New Roman"/>
          <w:sz w:val="24"/>
          <w:szCs w:val="24"/>
        </w:rPr>
      </w:pPr>
      <w:r w:rsidRPr="00305D7A">
        <w:rPr>
          <w:rFonts w:ascii="Times New Roman" w:hAnsi="Times New Roman"/>
          <w:sz w:val="24"/>
          <w:szCs w:val="24"/>
        </w:rPr>
        <w:t>Competency-based learning offers a theoretical rationale for integrating station rotation and portfolios. The Competency-Based Education Network (C-BEN, 2023) points to several guiding principles: mastery-based progression, transparent learning objectives, and modular learning supports. According to Gunawardena et al. (2024), for learning to truly become personalized at a deep level, change at the structural level is necessary rather than focusing solely on technology utilization.</w:t>
      </w:r>
    </w:p>
    <w:p w14:paraId="426FCE47" w14:textId="5511CB6C" w:rsidR="00305D7A" w:rsidRPr="00305D7A" w:rsidRDefault="00305D7A" w:rsidP="00305D7A">
      <w:pPr>
        <w:spacing w:after="0" w:line="480" w:lineRule="auto"/>
        <w:ind w:firstLine="720"/>
        <w:rPr>
          <w:rFonts w:ascii="Times New Roman" w:hAnsi="Times New Roman"/>
          <w:sz w:val="24"/>
          <w:szCs w:val="24"/>
        </w:rPr>
      </w:pPr>
      <w:r w:rsidRPr="00305D7A">
        <w:rPr>
          <w:rFonts w:ascii="Times New Roman" w:hAnsi="Times New Roman"/>
          <w:sz w:val="24"/>
          <w:szCs w:val="24"/>
        </w:rPr>
        <w:t>Personalized learning, data-driven teaching, and digital equity are showcased as accelerators for K-12 edu-innovation by CoSN (2024). The emphasis on learning analytics and digital portfolios is confirmed to remain on track by EDUCAUSE (2025) for higher education trends linked to AI and learning analytics. These two studies support blending learning portfolios to encourage autonomy and development for K-12 learners.</w:t>
      </w:r>
      <w:r w:rsidRPr="00305D7A">
        <w:rPr>
          <w:rFonts w:ascii="Times New Roman" w:hAnsi="Times New Roman"/>
          <w:sz w:val="24"/>
          <w:szCs w:val="24"/>
        </w:rPr>
        <w:br/>
      </w:r>
      <w:r w:rsidRPr="00305D7A">
        <w:rPr>
          <w:rFonts w:ascii="Times New Roman" w:hAnsi="Times New Roman"/>
          <w:i/>
          <w:iCs/>
          <w:sz w:val="24"/>
          <w:szCs w:val="24"/>
        </w:rPr>
        <w:t xml:space="preserve">Conclusion </w:t>
      </w:r>
    </w:p>
    <w:p w14:paraId="64979D32" w14:textId="56494CBD" w:rsidR="00152DAE" w:rsidRPr="00305D7A" w:rsidRDefault="00305D7A" w:rsidP="00305D7A">
      <w:pPr>
        <w:spacing w:after="0" w:line="480" w:lineRule="auto"/>
        <w:ind w:firstLine="720"/>
        <w:rPr>
          <w:rFonts w:ascii="Times New Roman" w:hAnsi="Times New Roman"/>
          <w:sz w:val="24"/>
          <w:szCs w:val="24"/>
        </w:rPr>
      </w:pPr>
      <w:r w:rsidRPr="00305D7A">
        <w:rPr>
          <w:rFonts w:ascii="Times New Roman" w:hAnsi="Times New Roman"/>
          <w:sz w:val="24"/>
          <w:szCs w:val="24"/>
        </w:rPr>
        <w:lastRenderedPageBreak/>
        <w:t>According to the literature, blended learning environments, especially those designed through station rotation techniques, increase levels of engagement, facilitate differentiated learning, and improve academic outcomes. Digital portfolios allow for synergy between learning strategies by fostering self-regulation and learning for mastery. Competency-based learning approaches also support these strategies by being transparent and focusing on goal-oriented learning. Patterns from within the literature point to highly structured routines and support and feedback being required for success. Areas of need range from lack of study on station-rotation and portfolios at the middle school social studies level to difficulties regarding equity, technology utilization, and teacher training. Notably, areas of need within this project are specifically addressed by this intervention strategy to improve engagement and achievement outcomes for 7th grade Texas History.</w:t>
      </w:r>
    </w:p>
    <w:p w14:paraId="07F7C10D" w14:textId="77777777" w:rsidR="00152DAE" w:rsidRPr="00305D7A" w:rsidRDefault="00152DAE" w:rsidP="00305D7A">
      <w:pPr>
        <w:spacing w:line="480" w:lineRule="auto"/>
        <w:rPr>
          <w:rFonts w:ascii="Times New Roman" w:hAnsi="Times New Roman"/>
          <w:sz w:val="24"/>
          <w:szCs w:val="24"/>
        </w:rPr>
      </w:pPr>
    </w:p>
    <w:p w14:paraId="44EEDA22"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35738F52"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26B2FC94"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30766148"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435A0D0A"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1DF2DEFF"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02ED4BA7"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04E37D2B"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567A3A78"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70794D59"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2C0BB26A"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395F6BCE"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48656EFD"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505D5852"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5902C970" w14:textId="77777777" w:rsidR="00152DAE" w:rsidRPr="00305D7A" w:rsidRDefault="00152DAE" w:rsidP="00305D7A">
      <w:pPr>
        <w:spacing w:after="0" w:line="480" w:lineRule="auto"/>
        <w:jc w:val="center"/>
        <w:rPr>
          <w:rFonts w:ascii="Times New Roman" w:hAnsi="Times New Roman"/>
          <w:sz w:val="24"/>
          <w:szCs w:val="24"/>
          <w:shd w:val="clear" w:color="auto" w:fill="FFFFFF"/>
        </w:rPr>
      </w:pPr>
    </w:p>
    <w:p w14:paraId="24A11971" w14:textId="51470B0B" w:rsidR="00C7314B" w:rsidRPr="00305D7A" w:rsidRDefault="00152DAE" w:rsidP="00305D7A">
      <w:pPr>
        <w:spacing w:after="0" w:line="480" w:lineRule="auto"/>
        <w:jc w:val="center"/>
        <w:rPr>
          <w:rFonts w:ascii="Times New Roman" w:hAnsi="Times New Roman"/>
          <w:sz w:val="24"/>
          <w:szCs w:val="24"/>
          <w:shd w:val="clear" w:color="auto" w:fill="FFFFFF"/>
        </w:rPr>
      </w:pPr>
      <w:r w:rsidRPr="00305D7A">
        <w:rPr>
          <w:rFonts w:ascii="Times New Roman" w:hAnsi="Times New Roman"/>
          <w:sz w:val="24"/>
          <w:szCs w:val="24"/>
          <w:shd w:val="clear" w:color="auto" w:fill="FFFFFF"/>
        </w:rPr>
        <w:t>R</w:t>
      </w:r>
      <w:r w:rsidR="00C7314B" w:rsidRPr="00305D7A">
        <w:rPr>
          <w:rFonts w:ascii="Times New Roman" w:hAnsi="Times New Roman"/>
          <w:sz w:val="24"/>
          <w:szCs w:val="24"/>
          <w:shd w:val="clear" w:color="auto" w:fill="FFFFFF"/>
        </w:rPr>
        <w:t>eferences</w:t>
      </w:r>
    </w:p>
    <w:p w14:paraId="45E9263C" w14:textId="272257CC"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Al-Hawamleh, M. S. (2022). Digital portfolio and self-regulation in speaking tasks. </w:t>
      </w:r>
      <w:r w:rsidRPr="00152DAE">
        <w:rPr>
          <w:rFonts w:ascii="Times New Roman" w:hAnsi="Times New Roman"/>
          <w:i/>
          <w:iCs/>
          <w:sz w:val="24"/>
          <w:szCs w:val="24"/>
          <w:shd w:val="clear" w:color="auto" w:fill="FFFFFF"/>
          <w:lang w:val="en-JM"/>
        </w:rPr>
        <w:t>Asian-Pacific Journal of Second and Foreign Language Education, 7</w:t>
      </w:r>
      <w:r w:rsidRPr="00152DAE">
        <w:rPr>
          <w:rFonts w:ascii="Times New Roman" w:hAnsi="Times New Roman"/>
          <w:sz w:val="24"/>
          <w:szCs w:val="24"/>
          <w:shd w:val="clear" w:color="auto" w:fill="FFFFFF"/>
          <w:lang w:val="en-JM"/>
        </w:rPr>
        <w:t xml:space="preserve">(1). </w:t>
      </w:r>
      <w:hyperlink r:id="rId6" w:tgtFrame="_new" w:history="1">
        <w:r w:rsidRPr="00152DAE">
          <w:rPr>
            <w:rStyle w:val="Hyperlink"/>
            <w:rFonts w:ascii="Times New Roman" w:hAnsi="Times New Roman"/>
            <w:sz w:val="24"/>
            <w:szCs w:val="24"/>
            <w:shd w:val="clear" w:color="auto" w:fill="FFFFFF"/>
            <w:lang w:val="en-JM" w:bidi="ar-SA"/>
          </w:rPr>
          <w:t>https://sfleducation.springeropen.com/articles/10.1186/s40862-022-00141-w</w:t>
        </w:r>
      </w:hyperlink>
    </w:p>
    <w:p w14:paraId="1C6CB466" w14:textId="77777777"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Chatterjee, R. (2024). Teacher perception of blended learning on student engagement in the post-pandemic era in a K–12 setting. </w:t>
      </w:r>
      <w:r w:rsidRPr="00152DAE">
        <w:rPr>
          <w:rFonts w:ascii="Times New Roman" w:hAnsi="Times New Roman"/>
          <w:i/>
          <w:iCs/>
          <w:sz w:val="24"/>
          <w:szCs w:val="24"/>
          <w:shd w:val="clear" w:color="auto" w:fill="FFFFFF"/>
          <w:lang w:val="en-JM"/>
        </w:rPr>
        <w:t>Education Leadership Review of Doctoral Research, 12.</w:t>
      </w:r>
      <w:r w:rsidRPr="00152DAE">
        <w:rPr>
          <w:rFonts w:ascii="Times New Roman" w:hAnsi="Times New Roman"/>
          <w:sz w:val="24"/>
          <w:szCs w:val="24"/>
          <w:shd w:val="clear" w:color="auto" w:fill="FFFFFF"/>
          <w:lang w:val="en-JM"/>
        </w:rPr>
        <w:t xml:space="preserve"> </w:t>
      </w:r>
      <w:hyperlink r:id="rId7" w:tgtFrame="_new" w:history="1">
        <w:r w:rsidRPr="00152DAE">
          <w:rPr>
            <w:rStyle w:val="Hyperlink"/>
            <w:rFonts w:ascii="Times New Roman" w:hAnsi="Times New Roman"/>
            <w:sz w:val="24"/>
            <w:szCs w:val="24"/>
            <w:shd w:val="clear" w:color="auto" w:fill="FFFFFF"/>
            <w:lang w:val="en-JM" w:bidi="ar-SA"/>
          </w:rPr>
          <w:t>https://files.eric.ed.gov/fulltext/EJ1468590.pdf</w:t>
        </w:r>
      </w:hyperlink>
    </w:p>
    <w:p w14:paraId="1151766A" w14:textId="19060E5E"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Competency-Based Education Network. (2023). </w:t>
      </w:r>
      <w:r w:rsidRPr="00152DAE">
        <w:rPr>
          <w:rFonts w:ascii="Times New Roman" w:hAnsi="Times New Roman"/>
          <w:i/>
          <w:iCs/>
          <w:sz w:val="24"/>
          <w:szCs w:val="24"/>
          <w:shd w:val="clear" w:color="auto" w:fill="FFFFFF"/>
          <w:lang w:val="en-JM"/>
        </w:rPr>
        <w:t>Personalized, competency-based learning: Unlocking the potential of every learner.</w:t>
      </w:r>
      <w:r w:rsidRPr="00152DAE">
        <w:rPr>
          <w:rFonts w:ascii="Times New Roman" w:hAnsi="Times New Roman"/>
          <w:sz w:val="24"/>
          <w:szCs w:val="24"/>
          <w:shd w:val="clear" w:color="auto" w:fill="FFFFFF"/>
          <w:lang w:val="en-JM"/>
        </w:rPr>
        <w:t xml:space="preserve"> </w:t>
      </w:r>
      <w:hyperlink r:id="rId8" w:tgtFrame="_new" w:history="1">
        <w:r w:rsidRPr="00152DAE">
          <w:rPr>
            <w:rStyle w:val="Hyperlink"/>
            <w:rFonts w:ascii="Times New Roman" w:hAnsi="Times New Roman"/>
            <w:sz w:val="24"/>
            <w:szCs w:val="24"/>
            <w:shd w:val="clear" w:color="auto" w:fill="FFFFFF"/>
            <w:lang w:val="en-JM" w:bidi="ar-SA"/>
          </w:rPr>
          <w:t>https://www.c-ben.org/personalized-competency-based-learning-unlocking-the-potential-of-every-learner/</w:t>
        </w:r>
      </w:hyperlink>
    </w:p>
    <w:p w14:paraId="7D386D50" w14:textId="016DF2C5"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Consortium for School Networking. (2024). </w:t>
      </w:r>
      <w:r w:rsidRPr="00152DAE">
        <w:rPr>
          <w:rFonts w:ascii="Times New Roman" w:hAnsi="Times New Roman"/>
          <w:i/>
          <w:iCs/>
          <w:sz w:val="24"/>
          <w:szCs w:val="24"/>
          <w:shd w:val="clear" w:color="auto" w:fill="FFFFFF"/>
          <w:lang w:val="en-JM"/>
        </w:rPr>
        <w:t>Driving K–12 innovation: 2024 hurdles, accelerators, and tech enablers.</w:t>
      </w:r>
      <w:r w:rsidRPr="00152DAE">
        <w:rPr>
          <w:rFonts w:ascii="Times New Roman" w:hAnsi="Times New Roman"/>
          <w:sz w:val="24"/>
          <w:szCs w:val="24"/>
          <w:shd w:val="clear" w:color="auto" w:fill="FFFFFF"/>
          <w:lang w:val="en-JM"/>
        </w:rPr>
        <w:t xml:space="preserve"> </w:t>
      </w:r>
      <w:hyperlink r:id="rId9" w:tgtFrame="_new" w:history="1">
        <w:r w:rsidRPr="00152DAE">
          <w:rPr>
            <w:rStyle w:val="Hyperlink"/>
            <w:rFonts w:ascii="Times New Roman" w:hAnsi="Times New Roman"/>
            <w:sz w:val="24"/>
            <w:szCs w:val="24"/>
            <w:shd w:val="clear" w:color="auto" w:fill="FFFFFF"/>
            <w:lang w:val="en-JM" w:bidi="ar-SA"/>
          </w:rPr>
          <w:t>https://www.cosn.org/tools-and-resources/resource/driving-k-12-innovation-2024-hurdles-accelerators-tech-enablers/</w:t>
        </w:r>
      </w:hyperlink>
    </w:p>
    <w:p w14:paraId="78C687BA" w14:textId="3F9FF766"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EDUCAUSE. (2025). </w:t>
      </w:r>
      <w:r w:rsidRPr="00152DAE">
        <w:rPr>
          <w:rFonts w:ascii="Times New Roman" w:hAnsi="Times New Roman"/>
          <w:i/>
          <w:iCs/>
          <w:sz w:val="24"/>
          <w:szCs w:val="24"/>
          <w:shd w:val="clear" w:color="auto" w:fill="FFFFFF"/>
          <w:lang w:val="en-JM"/>
        </w:rPr>
        <w:t>EDUCAUSE Horizon Report: Teaching and Learning Edition.</w:t>
      </w:r>
      <w:r w:rsidRPr="00152DAE">
        <w:rPr>
          <w:rFonts w:ascii="Times New Roman" w:hAnsi="Times New Roman"/>
          <w:sz w:val="24"/>
          <w:szCs w:val="24"/>
          <w:shd w:val="clear" w:color="auto" w:fill="FFFFFF"/>
          <w:lang w:val="en-JM"/>
        </w:rPr>
        <w:t xml:space="preserve"> </w:t>
      </w:r>
      <w:hyperlink r:id="rId10" w:tgtFrame="_new" w:history="1">
        <w:r w:rsidRPr="00152DAE">
          <w:rPr>
            <w:rStyle w:val="Hyperlink"/>
            <w:rFonts w:ascii="Times New Roman" w:hAnsi="Times New Roman"/>
            <w:sz w:val="24"/>
            <w:szCs w:val="24"/>
            <w:shd w:val="clear" w:color="auto" w:fill="FFFFFF"/>
            <w:lang w:val="en-JM" w:bidi="ar-SA"/>
          </w:rPr>
          <w:t>https://library.educause.edu/resources/2025/5/2025-educause-horizon-report-teaching-and-learning-edition</w:t>
        </w:r>
      </w:hyperlink>
    </w:p>
    <w:p w14:paraId="7351D989" w14:textId="77777777"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Fulbeck, E. S. (2020). </w:t>
      </w:r>
      <w:r w:rsidRPr="00152DAE">
        <w:rPr>
          <w:rFonts w:ascii="Times New Roman" w:hAnsi="Times New Roman"/>
          <w:i/>
          <w:iCs/>
          <w:sz w:val="24"/>
          <w:szCs w:val="24"/>
          <w:shd w:val="clear" w:color="auto" w:fill="FFFFFF"/>
          <w:lang w:val="en-JM"/>
        </w:rPr>
        <w:t>Personalizing student learning with station rotation.</w:t>
      </w:r>
      <w:r w:rsidRPr="00152DAE">
        <w:rPr>
          <w:rFonts w:ascii="Times New Roman" w:hAnsi="Times New Roman"/>
          <w:sz w:val="24"/>
          <w:szCs w:val="24"/>
          <w:shd w:val="clear" w:color="auto" w:fill="FFFFFF"/>
          <w:lang w:val="en-JM"/>
        </w:rPr>
        <w:t xml:space="preserve"> American Institutes for Research. </w:t>
      </w:r>
      <w:hyperlink r:id="rId11" w:tgtFrame="_new" w:history="1">
        <w:r w:rsidRPr="00152DAE">
          <w:rPr>
            <w:rStyle w:val="Hyperlink"/>
            <w:rFonts w:ascii="Times New Roman" w:hAnsi="Times New Roman"/>
            <w:sz w:val="24"/>
            <w:szCs w:val="24"/>
            <w:shd w:val="clear" w:color="auto" w:fill="FFFFFF"/>
            <w:lang w:val="en-JM" w:bidi="ar-SA"/>
          </w:rPr>
          <w:t>https://www.air.org/sites/default/files/Station-Rotation-Research-Brief-Final-July-2020.pdf</w:t>
        </w:r>
      </w:hyperlink>
    </w:p>
    <w:p w14:paraId="26135D6C" w14:textId="7DD89BBA"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lastRenderedPageBreak/>
        <w:t xml:space="preserve">Garcia, M. B. (2025). Self-coded digital portfolios as an authentic project-based assessment tool. </w:t>
      </w:r>
      <w:r w:rsidRPr="00152DAE">
        <w:rPr>
          <w:rFonts w:ascii="Times New Roman" w:hAnsi="Times New Roman"/>
          <w:i/>
          <w:iCs/>
          <w:sz w:val="24"/>
          <w:szCs w:val="24"/>
          <w:shd w:val="clear" w:color="auto" w:fill="FFFFFF"/>
          <w:lang w:val="en-JM"/>
        </w:rPr>
        <w:t>Education Sciences, 15</w:t>
      </w:r>
      <w:r w:rsidRPr="00152DAE">
        <w:rPr>
          <w:rFonts w:ascii="Times New Roman" w:hAnsi="Times New Roman"/>
          <w:sz w:val="24"/>
          <w:szCs w:val="24"/>
          <w:shd w:val="clear" w:color="auto" w:fill="FFFFFF"/>
          <w:lang w:val="en-JM"/>
        </w:rPr>
        <w:t xml:space="preserve">(9), 1150. </w:t>
      </w:r>
      <w:hyperlink r:id="rId12" w:tgtFrame="_new" w:history="1">
        <w:r w:rsidRPr="00152DAE">
          <w:rPr>
            <w:rStyle w:val="Hyperlink"/>
            <w:rFonts w:ascii="Times New Roman" w:hAnsi="Times New Roman"/>
            <w:sz w:val="24"/>
            <w:szCs w:val="24"/>
            <w:shd w:val="clear" w:color="auto" w:fill="FFFFFF"/>
            <w:lang w:val="en-JM" w:bidi="ar-SA"/>
          </w:rPr>
          <w:t>https://doi.org/10.3390/educsci15091150</w:t>
        </w:r>
      </w:hyperlink>
    </w:p>
    <w:p w14:paraId="4FF3CD6D" w14:textId="246324D0"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Gunawardena, M., Bishop, D., &amp; Aviruppola, P. (2024). Personalized learning: The simple, the complicated, the complex and the chaotic. </w:t>
      </w:r>
      <w:r w:rsidRPr="00152DAE">
        <w:rPr>
          <w:rFonts w:ascii="Times New Roman" w:hAnsi="Times New Roman"/>
          <w:i/>
          <w:iCs/>
          <w:sz w:val="24"/>
          <w:szCs w:val="24"/>
          <w:shd w:val="clear" w:color="auto" w:fill="FFFFFF"/>
          <w:lang w:val="en-JM"/>
        </w:rPr>
        <w:t>Teaching and Teacher Education, 139,</w:t>
      </w:r>
      <w:r w:rsidRPr="00152DAE">
        <w:rPr>
          <w:rFonts w:ascii="Times New Roman" w:hAnsi="Times New Roman"/>
          <w:sz w:val="24"/>
          <w:szCs w:val="24"/>
          <w:shd w:val="clear" w:color="auto" w:fill="FFFFFF"/>
          <w:lang w:val="en-JM"/>
        </w:rPr>
        <w:t xml:space="preserve"> 104429. </w:t>
      </w:r>
      <w:hyperlink r:id="rId13" w:tgtFrame="_new" w:history="1">
        <w:r w:rsidRPr="00152DAE">
          <w:rPr>
            <w:rStyle w:val="Hyperlink"/>
            <w:rFonts w:ascii="Times New Roman" w:hAnsi="Times New Roman"/>
            <w:sz w:val="24"/>
            <w:szCs w:val="24"/>
            <w:shd w:val="clear" w:color="auto" w:fill="FFFFFF"/>
            <w:lang w:val="en-JM" w:bidi="ar-SA"/>
          </w:rPr>
          <w:t>https://www.sciencedirect.com/science/article/pii/S0742051X23004171</w:t>
        </w:r>
      </w:hyperlink>
    </w:p>
    <w:p w14:paraId="571CBC97" w14:textId="77777777"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Lam, R. (2022). E-portfolios for self-regulated and co-regulated learning. </w:t>
      </w:r>
      <w:r w:rsidRPr="00152DAE">
        <w:rPr>
          <w:rFonts w:ascii="Times New Roman" w:hAnsi="Times New Roman"/>
          <w:i/>
          <w:iCs/>
          <w:sz w:val="24"/>
          <w:szCs w:val="24"/>
          <w:shd w:val="clear" w:color="auto" w:fill="FFFFFF"/>
          <w:lang w:val="en-JM"/>
        </w:rPr>
        <w:t>Frontiers in Psychology, 13,</w:t>
      </w:r>
      <w:r w:rsidRPr="00152DAE">
        <w:rPr>
          <w:rFonts w:ascii="Times New Roman" w:hAnsi="Times New Roman"/>
          <w:sz w:val="24"/>
          <w:szCs w:val="24"/>
          <w:shd w:val="clear" w:color="auto" w:fill="FFFFFF"/>
          <w:lang w:val="en-JM"/>
        </w:rPr>
        <w:t xml:space="preserve"> 1079385. </w:t>
      </w:r>
      <w:hyperlink r:id="rId14" w:tgtFrame="_new" w:history="1">
        <w:r w:rsidRPr="00152DAE">
          <w:rPr>
            <w:rStyle w:val="Hyperlink"/>
            <w:rFonts w:ascii="Times New Roman" w:hAnsi="Times New Roman"/>
            <w:sz w:val="24"/>
            <w:szCs w:val="24"/>
            <w:shd w:val="clear" w:color="auto" w:fill="FFFFFF"/>
            <w:lang w:val="en-JM" w:bidi="ar-SA"/>
          </w:rPr>
          <w:t>https://www.frontiersin.org/journals/psychology/articles/10.3389/fpsyg.2022.1079385/full</w:t>
        </w:r>
      </w:hyperlink>
    </w:p>
    <w:p w14:paraId="047BDF93" w14:textId="13DF27E8"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Li, J. (2021). </w:t>
      </w:r>
      <w:r w:rsidRPr="00152DAE">
        <w:rPr>
          <w:rFonts w:ascii="Times New Roman" w:hAnsi="Times New Roman"/>
          <w:i/>
          <w:iCs/>
          <w:sz w:val="24"/>
          <w:szCs w:val="24"/>
          <w:shd w:val="clear" w:color="auto" w:fill="FFFFFF"/>
          <w:lang w:val="en-JM"/>
        </w:rPr>
        <w:t>The impact of a four-station blended learning model of differentiated instruction on middle school student engagement</w:t>
      </w:r>
      <w:r w:rsidRPr="00152DAE">
        <w:rPr>
          <w:rFonts w:ascii="Times New Roman" w:hAnsi="Times New Roman"/>
          <w:sz w:val="24"/>
          <w:szCs w:val="24"/>
          <w:shd w:val="clear" w:color="auto" w:fill="FFFFFF"/>
          <w:lang w:val="en-JM"/>
        </w:rPr>
        <w:t xml:space="preserve"> (Doctoral dissertation, University of South Carolina). </w:t>
      </w:r>
      <w:hyperlink r:id="rId15" w:tgtFrame="_new" w:history="1">
        <w:r w:rsidRPr="00152DAE">
          <w:rPr>
            <w:rStyle w:val="Hyperlink"/>
            <w:rFonts w:ascii="Times New Roman" w:hAnsi="Times New Roman"/>
            <w:sz w:val="24"/>
            <w:szCs w:val="24"/>
            <w:shd w:val="clear" w:color="auto" w:fill="FFFFFF"/>
            <w:lang w:val="en-JM" w:bidi="ar-SA"/>
          </w:rPr>
          <w:t>https://scholarcommons.sc.edu/cgi/viewcontent.cgi?article=7319&amp;context=etd</w:t>
        </w:r>
      </w:hyperlink>
    </w:p>
    <w:p w14:paraId="1F3CC167" w14:textId="77777777"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REL Central. (2023). Supporting use of electronic portfolios and education and career goal setting. Institute of Education Sciences. </w:t>
      </w:r>
      <w:hyperlink r:id="rId16" w:tgtFrame="_new" w:history="1">
        <w:r w:rsidRPr="00152DAE">
          <w:rPr>
            <w:rStyle w:val="Hyperlink"/>
            <w:rFonts w:ascii="Times New Roman" w:hAnsi="Times New Roman"/>
            <w:sz w:val="24"/>
            <w:szCs w:val="24"/>
            <w:shd w:val="clear" w:color="auto" w:fill="FFFFFF"/>
            <w:lang w:val="en-JM" w:bidi="ar-SA"/>
          </w:rPr>
          <w:t>https://ies.ed.gov/ncee/edlabs/regions/central/pdf/REL_2023013.pdf</w:t>
        </w:r>
      </w:hyperlink>
    </w:p>
    <w:p w14:paraId="78D44C54" w14:textId="77777777"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Tong, D. H., Zhang, P., &amp; Nguyen, T. (2022). The effectiveness of blended learning on students’ academic achievement in mathematics. </w:t>
      </w:r>
      <w:r w:rsidRPr="00152DAE">
        <w:rPr>
          <w:rFonts w:ascii="Times New Roman" w:hAnsi="Times New Roman"/>
          <w:i/>
          <w:iCs/>
          <w:sz w:val="24"/>
          <w:szCs w:val="24"/>
          <w:shd w:val="clear" w:color="auto" w:fill="FFFFFF"/>
          <w:lang w:val="en-JM"/>
        </w:rPr>
        <w:t>Education and Information Technologies, 27</w:t>
      </w:r>
      <w:r w:rsidRPr="00152DAE">
        <w:rPr>
          <w:rFonts w:ascii="Times New Roman" w:hAnsi="Times New Roman"/>
          <w:sz w:val="24"/>
          <w:szCs w:val="24"/>
          <w:shd w:val="clear" w:color="auto" w:fill="FFFFFF"/>
          <w:lang w:val="en-JM"/>
        </w:rPr>
        <w:t xml:space="preserve">(1), 431–450. </w:t>
      </w:r>
      <w:hyperlink r:id="rId17" w:tgtFrame="_new" w:history="1">
        <w:r w:rsidRPr="00152DAE">
          <w:rPr>
            <w:rStyle w:val="Hyperlink"/>
            <w:rFonts w:ascii="Times New Roman" w:hAnsi="Times New Roman"/>
            <w:sz w:val="24"/>
            <w:szCs w:val="24"/>
            <w:shd w:val="clear" w:color="auto" w:fill="FFFFFF"/>
            <w:lang w:val="en-JM" w:bidi="ar-SA"/>
          </w:rPr>
          <w:t>https://link.springer.com/article/10.1007/s10639-021-10659-0</w:t>
        </w:r>
      </w:hyperlink>
    </w:p>
    <w:p w14:paraId="03813066" w14:textId="77777777"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Xiangze, Z., &amp; Abdullah, Z. (2023). Station rotation with gamification approach to increase students’ engagement in learning English online. </w:t>
      </w:r>
      <w:r w:rsidRPr="00152DAE">
        <w:rPr>
          <w:rFonts w:ascii="Times New Roman" w:hAnsi="Times New Roman"/>
          <w:i/>
          <w:iCs/>
          <w:sz w:val="24"/>
          <w:szCs w:val="24"/>
          <w:shd w:val="clear" w:color="auto" w:fill="FFFFFF"/>
          <w:lang w:val="en-JM"/>
        </w:rPr>
        <w:t>Arab World English Journal, Special Issue on CALL, 9,</w:t>
      </w:r>
      <w:r w:rsidRPr="00152DAE">
        <w:rPr>
          <w:rFonts w:ascii="Times New Roman" w:hAnsi="Times New Roman"/>
          <w:sz w:val="24"/>
          <w:szCs w:val="24"/>
          <w:shd w:val="clear" w:color="auto" w:fill="FFFFFF"/>
          <w:lang w:val="en-JM"/>
        </w:rPr>
        <w:t xml:space="preserve"> 105–121. </w:t>
      </w:r>
      <w:hyperlink r:id="rId18" w:tgtFrame="_new" w:history="1">
        <w:r w:rsidRPr="00152DAE">
          <w:rPr>
            <w:rStyle w:val="Hyperlink"/>
            <w:rFonts w:ascii="Times New Roman" w:hAnsi="Times New Roman"/>
            <w:sz w:val="24"/>
            <w:szCs w:val="24"/>
            <w:shd w:val="clear" w:color="auto" w:fill="FFFFFF"/>
            <w:lang w:val="en-JM" w:bidi="ar-SA"/>
          </w:rPr>
          <w:t>https://awej.org/wp-content/uploads/2023/07/7.pdf</w:t>
        </w:r>
      </w:hyperlink>
    </w:p>
    <w:p w14:paraId="0E2A7287" w14:textId="48195837"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lastRenderedPageBreak/>
        <w:t xml:space="preserve">Yang, H. (2024). An in-depth literature review of e-portfolio implementation in higher education: Steps, barriers, and strategies. </w:t>
      </w:r>
      <w:r w:rsidRPr="00152DAE">
        <w:rPr>
          <w:rFonts w:ascii="Times New Roman" w:hAnsi="Times New Roman"/>
          <w:i/>
          <w:iCs/>
          <w:sz w:val="24"/>
          <w:szCs w:val="24"/>
          <w:shd w:val="clear" w:color="auto" w:fill="FFFFFF"/>
          <w:lang w:val="en-JM"/>
        </w:rPr>
        <w:t>Issues and Trends in Learning Technologies, 12</w:t>
      </w:r>
      <w:r w:rsidRPr="00152DAE">
        <w:rPr>
          <w:rFonts w:ascii="Times New Roman" w:hAnsi="Times New Roman"/>
          <w:sz w:val="24"/>
          <w:szCs w:val="24"/>
          <w:shd w:val="clear" w:color="auto" w:fill="FFFFFF"/>
          <w:lang w:val="en-JM"/>
        </w:rPr>
        <w:t xml:space="preserve">(1). </w:t>
      </w:r>
      <w:hyperlink r:id="rId19" w:tgtFrame="_new" w:history="1">
        <w:r w:rsidRPr="00152DAE">
          <w:rPr>
            <w:rStyle w:val="Hyperlink"/>
            <w:rFonts w:ascii="Times New Roman" w:hAnsi="Times New Roman"/>
            <w:sz w:val="24"/>
            <w:szCs w:val="24"/>
            <w:shd w:val="clear" w:color="auto" w:fill="FFFFFF"/>
            <w:lang w:val="en-JM" w:bidi="ar-SA"/>
          </w:rPr>
          <w:t>https://journals.librarypublishing.arizona.edu/itlt/article/id/5809/</w:t>
        </w:r>
      </w:hyperlink>
    </w:p>
    <w:p w14:paraId="0D7864BC" w14:textId="77777777" w:rsidR="00152DAE" w:rsidRPr="00152DAE" w:rsidRDefault="00152DAE" w:rsidP="00305D7A">
      <w:pPr>
        <w:spacing w:after="0" w:line="480" w:lineRule="auto"/>
        <w:ind w:left="720" w:hanging="720"/>
        <w:rPr>
          <w:rFonts w:ascii="Times New Roman" w:hAnsi="Times New Roman"/>
          <w:sz w:val="24"/>
          <w:szCs w:val="24"/>
          <w:shd w:val="clear" w:color="auto" w:fill="FFFFFF"/>
          <w:lang w:val="en-JM"/>
        </w:rPr>
      </w:pPr>
      <w:r w:rsidRPr="00152DAE">
        <w:rPr>
          <w:rFonts w:ascii="Times New Roman" w:hAnsi="Times New Roman"/>
          <w:sz w:val="24"/>
          <w:szCs w:val="24"/>
          <w:shd w:val="clear" w:color="auto" w:fill="FFFFFF"/>
          <w:lang w:val="en-JM"/>
        </w:rPr>
        <w:t xml:space="preserve">Zhang, P., &amp; Tur, G. (2024). A systematic review of e-portfolio use during the pandemic: Inspiration for post-COVID-19 practices. </w:t>
      </w:r>
      <w:r w:rsidRPr="00152DAE">
        <w:rPr>
          <w:rFonts w:ascii="Times New Roman" w:hAnsi="Times New Roman"/>
          <w:i/>
          <w:iCs/>
          <w:sz w:val="24"/>
          <w:szCs w:val="24"/>
          <w:shd w:val="clear" w:color="auto" w:fill="FFFFFF"/>
          <w:lang w:val="en-JM"/>
        </w:rPr>
        <w:t>Open Praxis, 16</w:t>
      </w:r>
      <w:r w:rsidRPr="00152DAE">
        <w:rPr>
          <w:rFonts w:ascii="Times New Roman" w:hAnsi="Times New Roman"/>
          <w:sz w:val="24"/>
          <w:szCs w:val="24"/>
          <w:shd w:val="clear" w:color="auto" w:fill="FFFFFF"/>
          <w:lang w:val="en-JM"/>
        </w:rPr>
        <w:t xml:space="preserve">(3), 294–310. </w:t>
      </w:r>
      <w:hyperlink r:id="rId20" w:tgtFrame="_new" w:history="1">
        <w:r w:rsidRPr="00152DAE">
          <w:rPr>
            <w:rStyle w:val="Hyperlink"/>
            <w:rFonts w:ascii="Times New Roman" w:hAnsi="Times New Roman"/>
            <w:sz w:val="24"/>
            <w:szCs w:val="24"/>
            <w:shd w:val="clear" w:color="auto" w:fill="FFFFFF"/>
            <w:lang w:val="en-JM" w:bidi="ar-SA"/>
          </w:rPr>
          <w:t>https://files.eric.ed.gov/fulltext/EJ1446966.pdf</w:t>
        </w:r>
      </w:hyperlink>
    </w:p>
    <w:p w14:paraId="5359CE61" w14:textId="1EAF4B51" w:rsidR="000751B3" w:rsidRPr="00305D7A" w:rsidRDefault="000751B3" w:rsidP="00305D7A">
      <w:pPr>
        <w:spacing w:after="0" w:line="480" w:lineRule="auto"/>
        <w:ind w:left="720" w:hanging="720"/>
        <w:rPr>
          <w:rFonts w:ascii="Times New Roman" w:hAnsi="Times New Roman"/>
          <w:sz w:val="24"/>
          <w:szCs w:val="24"/>
          <w:shd w:val="clear" w:color="auto" w:fill="FFFFFF"/>
        </w:rPr>
      </w:pPr>
    </w:p>
    <w:sectPr w:rsidR="000751B3" w:rsidRPr="00305D7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AE246" w14:textId="77777777" w:rsidR="00A00D98" w:rsidRDefault="00A00D98">
      <w:r>
        <w:separator/>
      </w:r>
    </w:p>
  </w:endnote>
  <w:endnote w:type="continuationSeparator" w:id="0">
    <w:p w14:paraId="31FAA299" w14:textId="77777777" w:rsidR="00A00D98" w:rsidRDefault="00A0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Hindi">
    <w:altName w:val="MS Mincho"/>
    <w:charset w:val="80"/>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A0EEE" w14:textId="77777777" w:rsidR="000018F1" w:rsidRDefault="0000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3E2DA" w14:textId="77777777" w:rsidR="000018F1" w:rsidRDefault="00001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CC597" w14:textId="77777777" w:rsidR="000018F1" w:rsidRDefault="0000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42BFF" w14:textId="77777777" w:rsidR="00A00D98" w:rsidRDefault="00A00D98">
      <w:r>
        <w:separator/>
      </w:r>
    </w:p>
  </w:footnote>
  <w:footnote w:type="continuationSeparator" w:id="0">
    <w:p w14:paraId="005EBB7B" w14:textId="77777777" w:rsidR="00A00D98" w:rsidRDefault="00A0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B6775" w14:textId="77777777" w:rsidR="000018F1" w:rsidRDefault="0000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E813C" w14:textId="47A69B14" w:rsidR="007B4DB9" w:rsidRPr="000018F1" w:rsidRDefault="000018F1" w:rsidP="000018F1">
    <w:pPr>
      <w:pStyle w:val="Header"/>
    </w:pPr>
    <w:r w:rsidRPr="000018F1">
      <w:rPr>
        <w:rFonts w:ascii="Times New Roman" w:hAnsi="Times New Roman"/>
        <w:sz w:val="24"/>
        <w:szCs w:val="24"/>
        <w:shd w:val="clear" w:color="auto" w:fill="FFFFFF"/>
      </w:rPr>
      <w:t>Blended Learning and the Station-Rotation Model: A Literature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07BCB" w14:textId="77777777" w:rsidR="008C7843" w:rsidRPr="008C7843" w:rsidRDefault="008C7843" w:rsidP="008C7843">
    <w:pPr>
      <w:suppressAutoHyphens w:val="0"/>
      <w:spacing w:before="100" w:beforeAutospacing="1" w:after="100" w:afterAutospacing="1" w:line="240" w:lineRule="auto"/>
      <w:rPr>
        <w:rFonts w:ascii="Times New Roman" w:eastAsia="Times New Roman" w:hAnsi="Times New Roman"/>
        <w:sz w:val="24"/>
        <w:szCs w:val="24"/>
        <w:lang w:eastAsia="en-US"/>
      </w:rPr>
    </w:pPr>
    <w:r w:rsidRPr="008C7843">
      <w:rPr>
        <w:rFonts w:ascii="Times New Roman" w:eastAsia="Times New Roman" w:hAnsi="Times New Roman"/>
        <w:sz w:val="24"/>
        <w:szCs w:val="24"/>
        <w:lang w:eastAsia="en-US"/>
      </w:rPr>
      <w:t>Blended Learning and the Station-Rotation Model: A Literature Review</w:t>
    </w:r>
  </w:p>
  <w:p w14:paraId="7EF4B37E" w14:textId="3798CA94" w:rsidR="007B4DB9" w:rsidRDefault="007B4DB9" w:rsidP="00C7314B">
    <w:pPr>
      <w:spacing w:after="0" w:line="480" w:lineRule="auto"/>
    </w:pPr>
    <w:r>
      <w:rPr>
        <w:rFonts w:ascii="Times New Roman" w:hAnsi="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zMzAyNja2NDYwMjRU0lEKTi0uzszPAykwqQUA5ULZDiwAAAA="/>
  </w:docVars>
  <w:rsids>
    <w:rsidRoot w:val="00A40055"/>
    <w:rsid w:val="000018F1"/>
    <w:rsid w:val="00013DD9"/>
    <w:rsid w:val="000311F6"/>
    <w:rsid w:val="00044B2D"/>
    <w:rsid w:val="000465F4"/>
    <w:rsid w:val="000751B3"/>
    <w:rsid w:val="000C5BB3"/>
    <w:rsid w:val="000F2717"/>
    <w:rsid w:val="000F5A80"/>
    <w:rsid w:val="00107E33"/>
    <w:rsid w:val="00113FFC"/>
    <w:rsid w:val="0013043C"/>
    <w:rsid w:val="00130868"/>
    <w:rsid w:val="00150877"/>
    <w:rsid w:val="00152DAE"/>
    <w:rsid w:val="001D149A"/>
    <w:rsid w:val="00223D21"/>
    <w:rsid w:val="00305D7A"/>
    <w:rsid w:val="003073D4"/>
    <w:rsid w:val="00335E2F"/>
    <w:rsid w:val="00337292"/>
    <w:rsid w:val="003B3C46"/>
    <w:rsid w:val="003D6FDA"/>
    <w:rsid w:val="003E7CB9"/>
    <w:rsid w:val="004447C1"/>
    <w:rsid w:val="00470CCD"/>
    <w:rsid w:val="00475DDA"/>
    <w:rsid w:val="005130A4"/>
    <w:rsid w:val="0053570B"/>
    <w:rsid w:val="005421E9"/>
    <w:rsid w:val="005A432C"/>
    <w:rsid w:val="006717A9"/>
    <w:rsid w:val="006825EE"/>
    <w:rsid w:val="006C23C0"/>
    <w:rsid w:val="007B3261"/>
    <w:rsid w:val="007B3937"/>
    <w:rsid w:val="007B4DB9"/>
    <w:rsid w:val="007B5318"/>
    <w:rsid w:val="008958BF"/>
    <w:rsid w:val="008C52FE"/>
    <w:rsid w:val="008C7843"/>
    <w:rsid w:val="00932206"/>
    <w:rsid w:val="0093408A"/>
    <w:rsid w:val="00961A71"/>
    <w:rsid w:val="0096275F"/>
    <w:rsid w:val="009829DF"/>
    <w:rsid w:val="009F1153"/>
    <w:rsid w:val="00A00D98"/>
    <w:rsid w:val="00A40055"/>
    <w:rsid w:val="00A6594B"/>
    <w:rsid w:val="00A82C60"/>
    <w:rsid w:val="00A943A6"/>
    <w:rsid w:val="00AE2342"/>
    <w:rsid w:val="00AF7194"/>
    <w:rsid w:val="00B17BD2"/>
    <w:rsid w:val="00B40DBF"/>
    <w:rsid w:val="00B71060"/>
    <w:rsid w:val="00B8481A"/>
    <w:rsid w:val="00B95084"/>
    <w:rsid w:val="00BB541B"/>
    <w:rsid w:val="00C16ECA"/>
    <w:rsid w:val="00C46565"/>
    <w:rsid w:val="00C7314B"/>
    <w:rsid w:val="00C8604C"/>
    <w:rsid w:val="00CA5D31"/>
    <w:rsid w:val="00D3035F"/>
    <w:rsid w:val="00E06003"/>
    <w:rsid w:val="00EC1E7D"/>
    <w:rsid w:val="00F00438"/>
    <w:rsid w:val="00F16465"/>
    <w:rsid w:val="00F223FC"/>
    <w:rsid w:val="00F605AA"/>
    <w:rsid w:val="00FF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510B7DF"/>
  <w15:chartTrackingRefBased/>
  <w15:docId w15:val="{0BE0B773-FBB7-4F91-9B6F-4A6CAA96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3">
    <w:name w:val="Основной шрифт абзаца3"/>
  </w:style>
  <w:style w:type="character" w:customStyle="1" w:styleId="5">
    <w:name w:val="Знак Знак5"/>
    <w:rPr>
      <w:sz w:val="22"/>
      <w:szCs w:val="22"/>
      <w:lang w:val="en-US"/>
    </w:rPr>
  </w:style>
  <w:style w:type="character" w:customStyle="1" w:styleId="4">
    <w:name w:val="Знак Знак4"/>
    <w:rPr>
      <w:sz w:val="22"/>
      <w:szCs w:val="22"/>
      <w:lang w:val="en-US"/>
    </w:rPr>
  </w:style>
  <w:style w:type="character" w:customStyle="1" w:styleId="30">
    <w:name w:val="Знак Знак3"/>
    <w:rPr>
      <w:rFonts w:ascii="Tahoma" w:hAnsi="Tahoma" w:cs="Tahoma"/>
      <w:sz w:val="16"/>
      <w:szCs w:val="16"/>
      <w:lang w:val="en-US"/>
    </w:rPr>
  </w:style>
  <w:style w:type="character" w:customStyle="1" w:styleId="2">
    <w:name w:val="Знак примечания2"/>
    <w:rPr>
      <w:sz w:val="16"/>
      <w:szCs w:val="16"/>
    </w:rPr>
  </w:style>
  <w:style w:type="character" w:customStyle="1" w:styleId="20">
    <w:name w:val="Знак Знак2"/>
    <w:rPr>
      <w:lang w:val="en-US"/>
    </w:rPr>
  </w:style>
  <w:style w:type="character" w:customStyle="1" w:styleId="1">
    <w:name w:val="Знак Знак1"/>
    <w:rPr>
      <w:b/>
      <w:bCs/>
      <w:lang w:val="en-US"/>
    </w:rPr>
  </w:style>
  <w:style w:type="character" w:customStyle="1" w:styleId="10">
    <w:name w:val="Основной шрифт абзаца1"/>
  </w:style>
  <w:style w:type="character" w:customStyle="1" w:styleId="21">
    <w:name w:val="Основной шрифт абзаца2"/>
  </w:style>
  <w:style w:type="character" w:customStyle="1" w:styleId="FooterChar">
    <w:name w:val="Footer Char"/>
    <w:rPr>
      <w:rFonts w:ascii="Times New Roman" w:eastAsia="Times New Roman" w:hAnsi="Times New Roman" w:cs="Times New Roman"/>
      <w:sz w:val="24"/>
      <w:szCs w:val="24"/>
      <w:lang w:val="ru-RU"/>
    </w:rPr>
  </w:style>
  <w:style w:type="character" w:customStyle="1" w:styleId="11">
    <w:name w:val="Знак примечания1"/>
    <w:rPr>
      <w:sz w:val="16"/>
      <w:szCs w:val="16"/>
    </w:rPr>
  </w:style>
  <w:style w:type="character" w:customStyle="1" w:styleId="CommentTextChar">
    <w:name w:val="Comment Text Char"/>
    <w:rPr>
      <w:rFonts w:ascii="Times New Roman" w:eastAsia="Times New Roman" w:hAnsi="Times New Roman" w:cs="Times New Roman"/>
      <w:sz w:val="20"/>
      <w:szCs w:val="20"/>
      <w:lang w:val="ru-RU"/>
    </w:rPr>
  </w:style>
  <w:style w:type="character" w:customStyle="1" w:styleId="CommentSubjectChar">
    <w:name w:val="Comment Subject Char"/>
    <w:rPr>
      <w:rFonts w:ascii="Times New Roman" w:eastAsia="Times New Roman" w:hAnsi="Times New Roman" w:cs="Times New Roman"/>
      <w:b/>
      <w:bCs/>
      <w:sz w:val="20"/>
      <w:szCs w:val="20"/>
      <w:lang w:val="ru-RU"/>
    </w:rPr>
  </w:style>
  <w:style w:type="character" w:customStyle="1" w:styleId="BalloonTextChar">
    <w:name w:val="Balloon Text Char"/>
    <w:rPr>
      <w:rFonts w:ascii="Tahoma" w:eastAsia="Times New Roman" w:hAnsi="Tahoma" w:cs="Tahoma"/>
      <w:sz w:val="16"/>
      <w:szCs w:val="16"/>
      <w:lang w:val="ru-RU"/>
    </w:rPr>
  </w:style>
  <w:style w:type="character" w:customStyle="1" w:styleId="HeaderChar">
    <w:name w:val="Header Char"/>
    <w:rPr>
      <w:rFonts w:ascii="Times New Roman" w:eastAsia="Times New Roman" w:hAnsi="Times New Roman" w:cs="Times New Roman"/>
      <w:sz w:val="24"/>
      <w:szCs w:val="24"/>
      <w:lang w:val="ru-RU"/>
    </w:rPr>
  </w:style>
  <w:style w:type="character" w:customStyle="1" w:styleId="FootnoteTextChar">
    <w:name w:val="Footnote Text Char"/>
    <w:rPr>
      <w:rFonts w:ascii="Times New Roman" w:eastAsia="Times New Roman" w:hAnsi="Times New Roman" w:cs="Times New Roman"/>
      <w:lang w:val="ru-RU"/>
    </w:rPr>
  </w:style>
  <w:style w:type="character" w:customStyle="1" w:styleId="12">
    <w:name w:val="Знак сноски1"/>
    <w:rPr>
      <w:vertAlign w:val="superscript"/>
    </w:rPr>
  </w:style>
  <w:style w:type="character" w:styleId="Hyperlink">
    <w:name w:val="Hyperlink"/>
    <w:rPr>
      <w:color w:val="0000FF"/>
      <w:u w:val="single"/>
      <w:lang w:val="en-US" w:bidi="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
    <w:name w:val="Знак Знак"/>
    <w:rPr>
      <w:rFonts w:ascii="Times New Roman" w:eastAsia="Times New Roman" w:hAnsi="Times New Roman" w:cs="Times New Roman"/>
      <w:color w:val="00000A"/>
      <w:kern w:val="1"/>
      <w:sz w:val="24"/>
      <w:szCs w:val="24"/>
      <w:lang w:val="ru-RU"/>
    </w:rPr>
  </w:style>
  <w:style w:type="character" w:customStyle="1" w:styleId="apple-converted-space">
    <w:name w:val="apple-converted-space"/>
  </w:style>
  <w:style w:type="character" w:customStyle="1" w:styleId="selectable">
    <w:name w:val="selectable"/>
  </w:style>
  <w:style w:type="character" w:styleId="Strong">
    <w:name w:val="Strong"/>
    <w:uiPriority w:val="22"/>
    <w:qFormat/>
    <w:rPr>
      <w:b/>
      <w:bCs/>
    </w:rPr>
  </w:style>
  <w:style w:type="paragraph" w:customStyle="1" w:styleId="13">
    <w:name w:val="Заголовок1"/>
    <w:basedOn w:val="Normal"/>
    <w:next w:val="BodyText"/>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Покажчик"/>
    <w:basedOn w:val="Normal"/>
    <w:pPr>
      <w:suppressLineNumbers/>
    </w:pPr>
    <w:rPr>
      <w:rFonts w:cs="Arial"/>
    </w:rPr>
  </w:style>
  <w:style w:type="paragraph" w:styleId="Header">
    <w:name w:val="header"/>
    <w:basedOn w:val="Normal"/>
    <w:link w:val="HeaderChar1"/>
    <w:uiPriority w:val="99"/>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customStyle="1" w:styleId="22">
    <w:name w:val="Текст примечания2"/>
    <w:basedOn w:val="Normal"/>
    <w:rPr>
      <w:sz w:val="20"/>
      <w:szCs w:val="20"/>
    </w:rPr>
  </w:style>
  <w:style w:type="paragraph" w:styleId="CommentSubject">
    <w:name w:val="annotation subject"/>
    <w:basedOn w:val="22"/>
    <w:next w:val="22"/>
    <w:rPr>
      <w:b/>
      <w:bCs/>
    </w:rPr>
  </w:style>
  <w:style w:type="paragraph" w:customStyle="1" w:styleId="14">
    <w:name w:val="Название1"/>
    <w:basedOn w:val="Normal"/>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Pr>
      <w:b/>
      <w:bCs/>
    </w:rPr>
  </w:style>
  <w:style w:type="paragraph" w:customStyle="1" w:styleId="1a">
    <w:name w:val="Текст выноски1"/>
    <w:basedOn w:val="Normal"/>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character" w:styleId="UnresolvedMention">
    <w:name w:val="Unresolved Mention"/>
    <w:basedOn w:val="DefaultParagraphFont"/>
    <w:uiPriority w:val="99"/>
    <w:semiHidden/>
    <w:unhideWhenUsed/>
    <w:rsid w:val="00152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39914">
      <w:bodyDiv w:val="1"/>
      <w:marLeft w:val="0"/>
      <w:marRight w:val="0"/>
      <w:marTop w:val="0"/>
      <w:marBottom w:val="0"/>
      <w:divBdr>
        <w:top w:val="none" w:sz="0" w:space="0" w:color="auto"/>
        <w:left w:val="none" w:sz="0" w:space="0" w:color="auto"/>
        <w:bottom w:val="none" w:sz="0" w:space="0" w:color="auto"/>
        <w:right w:val="none" w:sz="0" w:space="0" w:color="auto"/>
      </w:divBdr>
    </w:div>
    <w:div w:id="264266552">
      <w:bodyDiv w:val="1"/>
      <w:marLeft w:val="0"/>
      <w:marRight w:val="0"/>
      <w:marTop w:val="0"/>
      <w:marBottom w:val="0"/>
      <w:divBdr>
        <w:top w:val="none" w:sz="0" w:space="0" w:color="auto"/>
        <w:left w:val="none" w:sz="0" w:space="0" w:color="auto"/>
        <w:bottom w:val="none" w:sz="0" w:space="0" w:color="auto"/>
        <w:right w:val="none" w:sz="0" w:space="0" w:color="auto"/>
      </w:divBdr>
    </w:div>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 w:id="164823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en.org/personalized-competency-based-learning-unlocking-the-potential-of-every-learner/" TargetMode="External"/><Relationship Id="rId13" Type="http://schemas.openxmlformats.org/officeDocument/2006/relationships/hyperlink" Target="https://www.sciencedirect.com/science/article/pii/S0742051X23004171" TargetMode="External"/><Relationship Id="rId18" Type="http://schemas.openxmlformats.org/officeDocument/2006/relationships/hyperlink" Target="https://awej.org/wp-content/uploads/2023/07/7.pdf"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files.eric.ed.gov/fulltext/EJ1468590.pdf" TargetMode="External"/><Relationship Id="rId12" Type="http://schemas.openxmlformats.org/officeDocument/2006/relationships/hyperlink" Target="https://doi.org/10.3390/educsci15091150" TargetMode="External"/><Relationship Id="rId17" Type="http://schemas.openxmlformats.org/officeDocument/2006/relationships/hyperlink" Target="https://link.springer.com/article/10.1007/s10639-021-10659-0"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ies.ed.gov/ncee/edlabs/regions/central/pdf/REL_2023013.pdf" TargetMode="External"/><Relationship Id="rId20" Type="http://schemas.openxmlformats.org/officeDocument/2006/relationships/hyperlink" Target="https://files.eric.ed.gov/fulltext/EJ1446966.pdf" TargetMode="External"/><Relationship Id="rId1" Type="http://schemas.openxmlformats.org/officeDocument/2006/relationships/styles" Target="styles.xml"/><Relationship Id="rId6" Type="http://schemas.openxmlformats.org/officeDocument/2006/relationships/hyperlink" Target="https://sfleducation.springeropen.com/articles/10.1186/s40862-022-00141-w?.com" TargetMode="External"/><Relationship Id="rId11" Type="http://schemas.openxmlformats.org/officeDocument/2006/relationships/hyperlink" Target="https://www.air.org/sites/default/files/Station-Rotation-Research-Brief-Final-July-2020.pdf?utm_source=chatgpt.com"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scholarcommons.sc.edu/cgi/viewcontent.cgi?article=7319&amp;context=et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ibrary.educause.edu/resources/2025/5/2025-educause-horizon-report-teaching-and-learning-edition" TargetMode="External"/><Relationship Id="rId19" Type="http://schemas.openxmlformats.org/officeDocument/2006/relationships/hyperlink" Target="https://journals.librarypublishing.arizona.edu/itlt/article/id/5809/" TargetMode="External"/><Relationship Id="rId4" Type="http://schemas.openxmlformats.org/officeDocument/2006/relationships/footnotes" Target="footnotes.xml"/><Relationship Id="rId9" Type="http://schemas.openxmlformats.org/officeDocument/2006/relationships/hyperlink" Target="https://www.cosn.org/tools-and-resources/resource/driving-k-12-innovation-2024-hurdles-accelerators-tech-enablers/" TargetMode="External"/><Relationship Id="rId14" Type="http://schemas.openxmlformats.org/officeDocument/2006/relationships/hyperlink" Target="https://www.frontiersin.org/journals/psychology/articles/10.3389/fpsyg.2022.1079385/full?utm_source=chatgp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1700</Words>
  <Characters>9690</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subject/>
  <dc:creator>Windows User</dc:creator>
  <cp:keywords/>
  <cp:lastModifiedBy>McKnight, Chalice [NOaks]</cp:lastModifiedBy>
  <cp:revision>7</cp:revision>
  <cp:lastPrinted>1900-01-01T06:00:00Z</cp:lastPrinted>
  <dcterms:created xsi:type="dcterms:W3CDTF">2025-11-23T18:56:00Z</dcterms:created>
  <dcterms:modified xsi:type="dcterms:W3CDTF">2025-12-06T20:37:00Z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c552b80b-5281-47b8-ac84-c1a40bfbcdb4</vt:lpwstr>
  </property>
</Properties>
</file>