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Compilation &amp; Contributions to My Learning</w:t>
      </w:r>
    </w:p>
    <w:p w:rsidR="00000000" w:rsidDel="00000000" w:rsidP="00000000" w:rsidRDefault="00000000" w:rsidRPr="00000000" w14:paraId="00000002">
      <w:pPr>
        <w:spacing w:after="4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EDLD 5317</w:t>
      </w:r>
    </w:p>
    <w:p w:rsidR="00000000" w:rsidDel="00000000" w:rsidP="00000000" w:rsidRDefault="00000000" w:rsidRPr="00000000" w14:paraId="00000003">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wvbq701qnopn" w:id="0"/>
      <w:bookmarkEnd w:id="0"/>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began EDLD 5317, I expected to sharpen my writing for publication and share my ideas beyond my own classroom. I did not expect how much the course would push me to develop my own voice as an educator. Over the past eight weeks, I learned that leadership in education is not only about implementing innovative practices, but also about communicating them so other educators can learn, adapt, and improve their own instruction. Every assignment in this course is built on the one before it. Rather than four disconnected projects, I developed a single publication strategy guided by a single message: technology should not be the focus of instruction; it should enhance learning by helping students become reflective, engaged, and self-directed. Below, I walk through how each piece of the Publication Outline, Publication Rough Draft, Media Project, and Publication Final Draft worked together to build that message, followed by a reflection on my collaborative learning community and what I'd still like to grow.</w:t>
      </w:r>
    </w:p>
    <w:p w:rsidR="00000000" w:rsidDel="00000000" w:rsidP="00000000" w:rsidRDefault="00000000" w:rsidRPr="00000000" w14:paraId="00000005">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90v991rn1tjq" w:id="1"/>
      <w:bookmarkEnd w:id="1"/>
      <w:r w:rsidDel="00000000" w:rsidR="00000000" w:rsidRPr="00000000">
        <w:rPr>
          <w:rFonts w:ascii="Times New Roman" w:cs="Times New Roman" w:eastAsia="Times New Roman" w:hAnsi="Times New Roman"/>
          <w:b w:val="1"/>
          <w:bCs w:val="1"/>
          <w:sz w:val="24"/>
          <w:szCs w:val="24"/>
          <w:rtl w:val="0"/>
        </w:rPr>
        <w:t xml:space="preserve">What's Working: Evaluation of Successes</w:t>
      </w:r>
    </w:p>
    <w:p w:rsidR="00000000" w:rsidDel="00000000" w:rsidP="00000000" w:rsidRDefault="00000000" w:rsidRPr="00000000" w14:paraId="0000000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biggest success in this course was gaining confidence in my professional voice. The Publication Outline let me organize my ideas and pin down a clear audience before I started writing. It became the backbone of every assignment I returned to later. Building from it, the Publication Rough Draft turned my classroom experience into a research-supported article that connected theory to authentic practice. Peer and instructor feedback pushed me toward more precise use of research while confirming that my own classroom evidence had real value. The Media Project stretched that same message into a new format. Building a multimedia presentation forced me to say the same thing more concisely, without losing the research that underpins it, proving that meaningful learning can be communicated visually, not just in academic prose. The Publication Final Draft was where it all came together. Revising based on feedback taught me that good writing is never a one-pass process; it's a cycle of reflection and refinement. The final piece sharpened my core argument: digital portfolios matter not because they add technology to the classroom, but because they hand students ownership of their own learning.</w:t>
      </w:r>
    </w:p>
    <w:p w:rsidR="00000000" w:rsidDel="00000000" w:rsidP="00000000" w:rsidRDefault="00000000" w:rsidRPr="00000000" w14:paraId="00000007">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c16jpwc7o9e1" w:id="2"/>
      <w:bookmarkEnd w:id="2"/>
      <w:r w:rsidDel="00000000" w:rsidR="00000000" w:rsidRPr="00000000">
        <w:rPr>
          <w:rFonts w:ascii="Times New Roman" w:cs="Times New Roman" w:eastAsia="Times New Roman" w:hAnsi="Times New Roman"/>
          <w:b w:val="1"/>
          <w:bCs w:val="1"/>
          <w:sz w:val="24"/>
          <w:szCs w:val="24"/>
          <w:rtl w:val="0"/>
        </w:rPr>
        <w:t xml:space="preserve">Areas for Growth</w:t>
      </w:r>
    </w:p>
    <w:p w:rsidR="00000000" w:rsidDel="00000000" w:rsidP="00000000" w:rsidRDefault="00000000" w:rsidRPr="00000000" w14:paraId="00000008">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take this writing beyond graduate coursework, submitting it to practitioner journals and educational publications, so classroom-tested ideas can reach and support other educators. I also want to keep strengthening my ability to synthesize research with practice: this course showed me that good scholarly writing isn't just about finding quality sources; it's about accurately representing each study and clearly tying it back to my own context. That skill will matter even more as I move into action research on my innovation plan.</w:t>
      </w:r>
    </w:p>
    <w:p w:rsidR="00000000" w:rsidDel="00000000" w:rsidP="00000000" w:rsidRDefault="00000000" w:rsidRPr="00000000" w14:paraId="00000009">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zfe6v4mixwm7" w:id="3"/>
      <w:bookmarkEnd w:id="3"/>
      <w:r w:rsidDel="00000000" w:rsidR="00000000" w:rsidRPr="00000000">
        <w:rPr>
          <w:rFonts w:ascii="Times New Roman" w:cs="Times New Roman" w:eastAsia="Times New Roman" w:hAnsi="Times New Roman"/>
          <w:b w:val="1"/>
          <w:bCs w:val="1"/>
          <w:sz w:val="24"/>
          <w:szCs w:val="24"/>
          <w:rtl w:val="0"/>
        </w:rPr>
        <w:t xml:space="preserve">Reflection on My Collaborative Learning Community</w:t>
      </w:r>
    </w:p>
    <w:p w:rsidR="00000000" w:rsidDel="00000000" w:rsidP="00000000" w:rsidRDefault="00000000" w:rsidRPr="00000000" w14:paraId="0000000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feedback to classmates required me to slow down and evaluate their research, design, and writing with real care, and it sharpened my evaluation of my own work in return. The feedback I received pushed me to clarify findings, tighten APA accuracy, and strengthen my argument without losing my focus. These exchanges reminded me that growth rarely happens alone. If I could change one thing, I'd go beyond the required prompts and seek more conversations on my own.</w:t>
      </w:r>
    </w:p>
    <w:p w:rsidR="00000000" w:rsidDel="00000000" w:rsidP="00000000" w:rsidRDefault="00000000" w:rsidRPr="00000000" w14:paraId="0000000B">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4xpv0tsovui5" w:id="4"/>
      <w:bookmarkEnd w:id="4"/>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0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EDLD 5317 strengthened both my confidence as an educator and my identity as a professional writer. It reinforced that meaningful technology integration isn't about adding new tools; it's about designing experiences that make students reflective, independent learners. Through writing, multimedia, and my ePortfolio, I've built resources that can support other educators exploring blended learning and digital portfolios. As I carry my innovation plan into action research, I hope to keep contributing to that larger conversation, helping students become active participants in their own learning.</w:t>
      </w:r>
    </w:p>
    <w:p w:rsidR="00000000" w:rsidDel="00000000" w:rsidP="00000000" w:rsidRDefault="00000000" w:rsidRPr="00000000" w14:paraId="0000000D">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1"/>
        <w:keepNext w:val="0"/>
        <w:keepLines w:val="0"/>
        <w:spacing w:after="160" w:before="300" w:lineRule="auto"/>
        <w:rPr>
          <w:rFonts w:ascii="Times New Roman" w:cs="Times New Roman" w:eastAsia="Times New Roman" w:hAnsi="Times New Roman"/>
          <w:b w:val="1"/>
          <w:bCs w:val="1"/>
          <w:sz w:val="24"/>
          <w:szCs w:val="24"/>
        </w:rPr>
      </w:pPr>
      <w:bookmarkStart w:colFirst="0" w:colLast="0" w:name="_qr8xr3ibhea" w:id="5"/>
      <w:bookmarkEnd w:id="5"/>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3">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Futures. (2011). Roger Schank on invisible learning: Real learning, real memory. https://educationfutures.com/blog/post/roger-schank-invisible-learning</w:t>
      </w:r>
    </w:p>
    <w:p w:rsidR="00000000" w:rsidDel="00000000" w:rsidP="00000000" w:rsidRDefault="00000000" w:rsidRPr="00000000" w14:paraId="00000014">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Fink, L. D. (2013). Creating significant learning experiences: An integrated approach to designing college courses (Rev. ed.). Jossey-Bass.</w:t>
      </w:r>
    </w:p>
    <w:p w:rsidR="00000000" w:rsidDel="00000000" w:rsidP="00000000" w:rsidRDefault="00000000" w:rsidRPr="00000000" w14:paraId="00000015">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M. B. (2025). Self-coded digital portfolios as an authentic project-based learning assessment in computing education: Evidence from a web design and development course. Education Sciences, 15(9), 1150. https://doi.org/10.3390/educsci15091150</w:t>
      </w:r>
    </w:p>
    <w:p w:rsidR="00000000" w:rsidDel="00000000" w:rsidP="00000000" w:rsidRDefault="00000000" w:rsidRPr="00000000" w14:paraId="00000016">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J. E., &amp; Roblyer, M. D. (2023). Integrating educational technology into teaching: Transforming learning across disciplines (9th ed.). Pearson.</w:t>
      </w:r>
    </w:p>
    <w:p w:rsidR="00000000" w:rsidDel="00000000" w:rsidP="00000000" w:rsidRDefault="00000000" w:rsidRPr="00000000" w14:paraId="00000017">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 R. (2022). E-portfolios for self-regulated and co-regulated learning. Frontiers in Psychology, 13, Article 1079385. https://doi.org/10.3389/fpsyg.2022.1079385</w:t>
      </w:r>
    </w:p>
    <w:p w:rsidR="00000000" w:rsidDel="00000000" w:rsidP="00000000" w:rsidRDefault="00000000" w:rsidRPr="00000000" w14:paraId="00000018">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Mertler, C. A. (2020). Action research: Improving schools and empowering educators (6th ed.). SAGE Publications.</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